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8313" w14:textId="77777777" w:rsidR="007A7AD3" w:rsidRDefault="007A7AD3" w:rsidP="007A7AD3">
      <w:pPr>
        <w:pStyle w:val="Default"/>
      </w:pPr>
    </w:p>
    <w:p w14:paraId="4CD02EB1" w14:textId="7E3B1C52" w:rsidR="00F71AF0" w:rsidRDefault="00F71AF0" w:rsidP="00F71AF0">
      <w:pPr>
        <w:jc w:val="center"/>
        <w:rPr>
          <w:b/>
          <w:bCs/>
          <w:sz w:val="23"/>
          <w:szCs w:val="23"/>
          <w:lang w:val="en-GB"/>
        </w:rPr>
      </w:pPr>
      <w:r w:rsidRPr="007A7AD3">
        <w:rPr>
          <w:b/>
          <w:bCs/>
          <w:sz w:val="23"/>
          <w:szCs w:val="23"/>
          <w:lang w:val="en-GB"/>
        </w:rPr>
        <w:t>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61AD02C0" w14:textId="5F5964B0" w:rsidR="00F16BF1" w:rsidRPr="002E6B38" w:rsidRDefault="00F71AF0" w:rsidP="002E6B38">
      <w:pPr>
        <w:spacing w:after="360"/>
        <w:jc w:val="center"/>
        <w:rPr>
          <w:b/>
          <w:bCs/>
          <w:sz w:val="24"/>
          <w:szCs w:val="24"/>
          <w:highlight w:val="cyan"/>
          <w:lang w:val="nl-BE"/>
        </w:rPr>
      </w:pPr>
      <w:r w:rsidRPr="009F4127">
        <w:rPr>
          <w:sz w:val="24"/>
          <w:szCs w:val="24"/>
          <w:lang w:val="nl-BE"/>
        </w:rPr>
        <w:t xml:space="preserve">Project code: </w:t>
      </w:r>
      <w:r w:rsidR="00F6413D" w:rsidRPr="00F6413D">
        <w:rPr>
          <w:sz w:val="24"/>
          <w:szCs w:val="24"/>
          <w:lang w:val="nl-BE"/>
        </w:rPr>
        <w:t>2023-1-ES01-KA131-HED-000136956</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6305FF16" w:rsidR="00F71AF0" w:rsidRDefault="00F71AF0" w:rsidP="00F71AF0">
      <w:pPr>
        <w:spacing w:after="120"/>
        <w:rPr>
          <w:sz w:val="24"/>
          <w:szCs w:val="24"/>
          <w:lang w:val="en-GB"/>
        </w:rPr>
      </w:pPr>
      <w:r w:rsidRPr="773BE38D">
        <w:rPr>
          <w:sz w:val="24"/>
          <w:szCs w:val="24"/>
          <w:lang w:val="en-GB"/>
        </w:rPr>
        <w:t xml:space="preserve">Academic year: </w:t>
      </w:r>
      <w:r w:rsidRPr="00F6413D">
        <w:rPr>
          <w:sz w:val="24"/>
          <w:szCs w:val="24"/>
          <w:lang w:val="en-GB"/>
        </w:rPr>
        <w:t>20</w:t>
      </w:r>
      <w:r w:rsidR="00F6413D" w:rsidRPr="00F6413D">
        <w:rPr>
          <w:sz w:val="24"/>
          <w:szCs w:val="24"/>
          <w:lang w:val="en-GB"/>
        </w:rPr>
        <w:t>23</w:t>
      </w:r>
      <w:r w:rsidRPr="00F6413D">
        <w:rPr>
          <w:sz w:val="24"/>
          <w:szCs w:val="24"/>
          <w:lang w:val="en-GB"/>
        </w:rPr>
        <w:t>/20</w:t>
      </w:r>
      <w:r w:rsidR="00F6413D" w:rsidRPr="00F6413D">
        <w:rPr>
          <w:sz w:val="24"/>
          <w:szCs w:val="24"/>
          <w:lang w:val="en-GB"/>
        </w:rPr>
        <w:t>24</w:t>
      </w:r>
    </w:p>
    <w:p w14:paraId="0D8AB4EE" w14:textId="054543DE" w:rsidR="00682B6E" w:rsidRPr="009F4127" w:rsidRDefault="00682B6E" w:rsidP="00682B6E">
      <w:pPr>
        <w:spacing w:after="120"/>
        <w:rPr>
          <w:sz w:val="24"/>
          <w:szCs w:val="24"/>
          <w:lang w:val="en-GB"/>
        </w:rPr>
      </w:pPr>
      <w:r w:rsidRPr="009F4127">
        <w:rPr>
          <w:sz w:val="24"/>
          <w:szCs w:val="24"/>
          <w:lang w:val="en-GB"/>
        </w:rPr>
        <w:t xml:space="preserve">Erasmus+ mobility ID number: </w:t>
      </w:r>
      <w:r w:rsidR="00F6413D" w:rsidRPr="00C23985">
        <w:rPr>
          <w:sz w:val="24"/>
          <w:szCs w:val="24"/>
          <w:lang w:val="en-GB"/>
        </w:rPr>
        <w:t>E CORDOBA01</w:t>
      </w:r>
    </w:p>
    <w:p w14:paraId="1D4BD57F" w14:textId="77777777" w:rsidR="000A62E3" w:rsidRDefault="000A62E3" w:rsidP="000A62E3">
      <w:pPr>
        <w:pStyle w:val="Default"/>
      </w:pPr>
    </w:p>
    <w:p w14:paraId="014A241C" w14:textId="77777777" w:rsidR="000A62E3" w:rsidRPr="000A62E3" w:rsidRDefault="000A62E3" w:rsidP="000A62E3">
      <w:pPr>
        <w:pStyle w:val="Ttulo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2EEEC607" w14:textId="132FABE6" w:rsidR="00C23985" w:rsidRDefault="00C23985" w:rsidP="00F9359A">
      <w:pPr>
        <w:spacing w:after="120"/>
        <w:rPr>
          <w:sz w:val="24"/>
          <w:szCs w:val="24"/>
          <w:lang w:val="en-GB"/>
        </w:rPr>
      </w:pPr>
      <w:r w:rsidRPr="00C23985">
        <w:rPr>
          <w:sz w:val="24"/>
          <w:szCs w:val="24"/>
          <w:lang w:val="en-GB"/>
        </w:rPr>
        <w:t>UNIVERSITY OF CORDOBA (E CORDOBA01)</w:t>
      </w:r>
    </w:p>
    <w:p w14:paraId="70BFA6BF" w14:textId="77777777" w:rsidR="00C23985" w:rsidRDefault="00C23985" w:rsidP="00F9359A">
      <w:pPr>
        <w:spacing w:after="120"/>
        <w:rPr>
          <w:snapToGrid/>
          <w:sz w:val="24"/>
          <w:szCs w:val="24"/>
          <w:lang w:val="es-ES"/>
        </w:rPr>
      </w:pPr>
      <w:r>
        <w:rPr>
          <w:sz w:val="24"/>
          <w:szCs w:val="24"/>
          <w:lang w:val="en-GB"/>
        </w:rPr>
        <w:t xml:space="preserve">Address: </w:t>
      </w:r>
      <w:r>
        <w:rPr>
          <w:snapToGrid/>
          <w:sz w:val="24"/>
          <w:szCs w:val="24"/>
          <w:lang w:val="es-ES"/>
        </w:rPr>
        <w:t>Avda. Medina Azahara, nº 5 Córdoba Postal Code 14071 (Spain)</w:t>
      </w:r>
    </w:p>
    <w:p w14:paraId="6DED9563" w14:textId="709FB605" w:rsidR="00093B4C" w:rsidRDefault="00093B4C" w:rsidP="00F9359A">
      <w:pPr>
        <w:spacing w:after="120"/>
        <w:rPr>
          <w:sz w:val="24"/>
          <w:szCs w:val="24"/>
          <w:lang w:val="en-GB"/>
        </w:rPr>
      </w:pPr>
      <w:r>
        <w:rPr>
          <w:sz w:val="24"/>
          <w:szCs w:val="24"/>
          <w:lang w:val="en-GB"/>
        </w:rPr>
        <w:t xml:space="preserve">Email: </w:t>
      </w:r>
      <w:r w:rsidR="002E6B38" w:rsidRPr="002E6B38">
        <w:rPr>
          <w:sz w:val="24"/>
          <w:szCs w:val="24"/>
          <w:lang w:val="en-GB"/>
        </w:rPr>
        <w:t>dg.internacional@uco.es</w:t>
      </w:r>
    </w:p>
    <w:p w14:paraId="73F866F9" w14:textId="14E035DF"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2E6B38">
        <w:rPr>
          <w:snapToGrid/>
          <w:sz w:val="24"/>
          <w:szCs w:val="24"/>
          <w:lang w:val="es-ES"/>
        </w:rPr>
        <w:t>Francisco Javier Ávila López, Director of Internationalisation and Mobility Programmes</w:t>
      </w:r>
      <w:r w:rsidR="002E6B38">
        <w:rPr>
          <w:sz w:val="24"/>
          <w:szCs w:val="24"/>
          <w:lang w:val="en-GB"/>
        </w:rPr>
        <w:t>.</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30B90F9C" w14:textId="77777777" w:rsidR="002E6B38" w:rsidRDefault="00824DF7" w:rsidP="00463271">
      <w:pPr>
        <w:spacing w:after="120"/>
        <w:rPr>
          <w:sz w:val="24"/>
          <w:szCs w:val="24"/>
          <w:lang w:val="en-GB"/>
        </w:rPr>
      </w:pPr>
      <w:r w:rsidRPr="003469F5">
        <w:rPr>
          <w:sz w:val="24"/>
          <w:szCs w:val="24"/>
          <w:lang w:val="en-GB"/>
        </w:rPr>
        <w:lastRenderedPageBreak/>
        <w:t>Email:</w:t>
      </w:r>
    </w:p>
    <w:p w14:paraId="27AD8921" w14:textId="235CDD43" w:rsidR="00F9359A" w:rsidRPr="00463271" w:rsidRDefault="00F9359A" w:rsidP="002E6B38">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2E6B38">
      <w:pPr>
        <w:spacing w:before="600"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009FB3BC" w14:textId="089C4423" w:rsidR="00F9359A" w:rsidRPr="00463271" w:rsidRDefault="00F9359A" w:rsidP="002E6B38">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sidRPr="002E6B38">
        <w:rPr>
          <w:sz w:val="24"/>
          <w:szCs w:val="24"/>
          <w:lang w:val="en-GB"/>
        </w:rPr>
        <w:t>Erasmus+ mobility agreement for staff mobility for teaching</w:t>
      </w:r>
    </w:p>
    <w:p w14:paraId="09BEE8F3" w14:textId="40054BAA" w:rsidR="00F9359A"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ll take precedence o</w:t>
      </w:r>
      <w:r w:rsidR="002E6B38">
        <w:rPr>
          <w:sz w:val="24"/>
          <w:szCs w:val="24"/>
          <w:lang w:val="en-GB"/>
        </w:rPr>
        <w:t>ver those set out in the annex.</w:t>
      </w:r>
    </w:p>
    <w:p w14:paraId="09C2BF8A" w14:textId="74758E3E" w:rsidR="00EC79EA" w:rsidRPr="007E5C16" w:rsidRDefault="005A72C8" w:rsidP="00AF2F43">
      <w:pPr>
        <w:spacing w:before="600"/>
        <w:jc w:val="both"/>
        <w:rPr>
          <w:lang w:val="en-GB"/>
        </w:rPr>
      </w:pPr>
      <w:r>
        <w:rPr>
          <w:lang w:val="en-GB"/>
        </w:rPr>
        <w:t>Total amount includes</w:t>
      </w:r>
    </w:p>
    <w:p w14:paraId="0F3AB447" w14:textId="1EA1B4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10F22F9F" w14:textId="3C8B8FE7" w:rsidR="00EC79EA" w:rsidRPr="007E5C16" w:rsidRDefault="009165F7" w:rsidP="00EC79EA">
      <w:pPr>
        <w:jc w:val="both"/>
        <w:rPr>
          <w:lang w:val="en-GB"/>
        </w:rPr>
      </w:pPr>
      <w:r>
        <w:rPr>
          <w:rFonts w:ascii="Segoe UI Symbol" w:hAnsi="Segoe UI Symbol" w:cs="Segoe UI Symbol"/>
          <w:noProof/>
          <w:snapToGrid/>
          <w:lang w:val="es-ES" w:eastAsia="es-ES"/>
        </w:rPr>
        <mc:AlternateContent>
          <mc:Choice Requires="wps">
            <w:drawing>
              <wp:anchor distT="0" distB="0" distL="114300" distR="114300" simplePos="0" relativeHeight="251665408" behindDoc="0" locked="0" layoutInCell="1" allowOverlap="1" wp14:anchorId="393D99FC" wp14:editId="7F5A6DAB">
                <wp:simplePos x="0" y="0"/>
                <wp:positionH relativeFrom="column">
                  <wp:posOffset>12065</wp:posOffset>
                </wp:positionH>
                <wp:positionV relativeFrom="paragraph">
                  <wp:posOffset>48155</wp:posOffset>
                </wp:positionV>
                <wp:extent cx="78105" cy="89535"/>
                <wp:effectExtent l="0" t="0" r="17145" b="24765"/>
                <wp:wrapNone/>
                <wp:docPr id="4" name="Rectángulo 4"/>
                <wp:cNvGraphicFramePr/>
                <a:graphic xmlns:a="http://schemas.openxmlformats.org/drawingml/2006/main">
                  <a:graphicData uri="http://schemas.microsoft.com/office/word/2010/wordprocessingShape">
                    <wps:wsp>
                      <wps:cNvSpPr/>
                      <wps:spPr>
                        <a:xfrm>
                          <a:off x="0" y="0"/>
                          <a:ext cx="78105" cy="89535"/>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5F3AB" id="Rectángulo 4" o:spid="_x0000_s1026" style="position:absolute;margin-left:.95pt;margin-top:3.8pt;width:6.1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" fillcolor="black [3213]" strokecolor="black [3213]" strokeweight=".25pt"/>
            </w:pict>
          </mc:Fallback>
        </mc:AlternateContent>
      </w:r>
      <w:r w:rsidR="00EC79EA" w:rsidRPr="007E5C16">
        <w:rPr>
          <w:rFonts w:ascii="Segoe UI Symbol" w:hAnsi="Segoe UI Symbol" w:cs="Segoe UI Symbol"/>
          <w:lang w:val="en-GB"/>
        </w:rPr>
        <w:t>☐</w:t>
      </w:r>
      <w:r w:rsidR="005C1EB3">
        <w:rPr>
          <w:lang w:val="en-GB"/>
        </w:rPr>
        <w:t xml:space="preserve"> Base amount for i</w:t>
      </w:r>
      <w:r w:rsidR="00EC79EA" w:rsidRPr="007E5C16">
        <w:rPr>
          <w:lang w:val="en-GB"/>
        </w:rPr>
        <w:t>ndividual support for short-term physical mobility</w:t>
      </w:r>
    </w:p>
    <w:p w14:paraId="3619A6D4" w14:textId="004EC7A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p>
    <w:p w14:paraId="1121D21C" w14:textId="4ED10291" w:rsidR="00EC79EA" w:rsidRPr="007E5C16" w:rsidRDefault="009165F7" w:rsidP="00EC79EA">
      <w:pPr>
        <w:jc w:val="both"/>
        <w:rPr>
          <w:lang w:val="en-GB"/>
        </w:rPr>
      </w:pPr>
      <w:r>
        <w:rPr>
          <w:rFonts w:ascii="Segoe UI Symbol" w:hAnsi="Segoe UI Symbol" w:cs="Segoe UI Symbol"/>
          <w:noProof/>
          <w:snapToGrid/>
          <w:lang w:val="es-ES" w:eastAsia="es-ES"/>
        </w:rPr>
        <mc:AlternateContent>
          <mc:Choice Requires="wps">
            <w:drawing>
              <wp:anchor distT="0" distB="0" distL="114300" distR="114300" simplePos="0" relativeHeight="251663360" behindDoc="0" locked="0" layoutInCell="1" allowOverlap="1" wp14:anchorId="6AB1A312" wp14:editId="13A9B5F6">
                <wp:simplePos x="0" y="0"/>
                <wp:positionH relativeFrom="column">
                  <wp:posOffset>15770</wp:posOffset>
                </wp:positionH>
                <wp:positionV relativeFrom="paragraph">
                  <wp:posOffset>41910</wp:posOffset>
                </wp:positionV>
                <wp:extent cx="78105" cy="89535"/>
                <wp:effectExtent l="0" t="0" r="17145" b="24765"/>
                <wp:wrapNone/>
                <wp:docPr id="3" name="Rectángulo 3"/>
                <wp:cNvGraphicFramePr/>
                <a:graphic xmlns:a="http://schemas.openxmlformats.org/drawingml/2006/main">
                  <a:graphicData uri="http://schemas.microsoft.com/office/word/2010/wordprocessingShape">
                    <wps:wsp>
                      <wps:cNvSpPr/>
                      <wps:spPr>
                        <a:xfrm>
                          <a:off x="0" y="0"/>
                          <a:ext cx="78105" cy="89535"/>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D203B" id="Rectángulo 3" o:spid="_x0000_s1026" style="position:absolute;margin-left:1.25pt;margin-top:3.3pt;width:6.1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" fillcolor="black [3213]" strokecolor="black [3213]" strokeweight=".25pt"/>
            </w:pict>
          </mc:Fallback>
        </mc:AlternateContent>
      </w:r>
      <w:r w:rsidR="00EC79EA" w:rsidRPr="007E5C16">
        <w:rPr>
          <w:rFonts w:ascii="Segoe UI Symbol" w:hAnsi="Segoe UI Symbol" w:cs="Segoe UI Symbol"/>
          <w:lang w:val="en-GB"/>
        </w:rPr>
        <w:t>☐</w:t>
      </w:r>
      <w:r w:rsidR="00EC79EA" w:rsidRPr="007E5C16">
        <w:rPr>
          <w:lang w:val="en-GB"/>
        </w:rPr>
        <w:t xml:space="preserve"> Travel support (standard travel or green travel</w:t>
      </w:r>
      <w:r w:rsidR="002070E2">
        <w:rPr>
          <w:lang w:val="en-GB"/>
        </w:rPr>
        <w:t xml:space="preserve"> amount</w:t>
      </w:r>
      <w:r w:rsidR="00EC79EA" w:rsidRPr="007E5C16">
        <w:rPr>
          <w:lang w:val="en-GB"/>
        </w:rPr>
        <w:t>)</w:t>
      </w:r>
    </w:p>
    <w:p w14:paraId="59862D66" w14:textId="1610D15D" w:rsidR="00EC79EA" w:rsidRPr="007E5C16" w:rsidRDefault="009165F7" w:rsidP="00EC79EA">
      <w:pPr>
        <w:jc w:val="both"/>
        <w:rPr>
          <w:lang w:val="en-GB"/>
        </w:rPr>
      </w:pPr>
      <w:r>
        <w:rPr>
          <w:rFonts w:ascii="Segoe UI Symbol" w:hAnsi="Segoe UI Symbol" w:cs="Segoe UI Symbol"/>
          <w:noProof/>
          <w:snapToGrid/>
          <w:lang w:val="es-ES" w:eastAsia="es-ES"/>
        </w:rPr>
        <mc:AlternateContent>
          <mc:Choice Requires="wps">
            <w:drawing>
              <wp:anchor distT="0" distB="0" distL="114300" distR="114300" simplePos="0" relativeHeight="251661312" behindDoc="0" locked="0" layoutInCell="1" allowOverlap="1" wp14:anchorId="36054DC4" wp14:editId="7B5466D8">
                <wp:simplePos x="0" y="0"/>
                <wp:positionH relativeFrom="margin">
                  <wp:posOffset>15240</wp:posOffset>
                </wp:positionH>
                <wp:positionV relativeFrom="paragraph">
                  <wp:posOffset>38630</wp:posOffset>
                </wp:positionV>
                <wp:extent cx="78105" cy="89535"/>
                <wp:effectExtent l="0" t="0" r="17145" b="24765"/>
                <wp:wrapNone/>
                <wp:docPr id="2" name="Rectángulo 2"/>
                <wp:cNvGraphicFramePr/>
                <a:graphic xmlns:a="http://schemas.openxmlformats.org/drawingml/2006/main">
                  <a:graphicData uri="http://schemas.microsoft.com/office/word/2010/wordprocessingShape">
                    <wps:wsp>
                      <wps:cNvSpPr/>
                      <wps:spPr>
                        <a:xfrm>
                          <a:off x="0" y="0"/>
                          <a:ext cx="78105" cy="89535"/>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E71C" id="Rectángulo 2" o:spid="_x0000_s1026" style="position:absolute;margin-left:1.2pt;margin-top:3.05pt;width:6.15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" fillcolor="black [3213]" strokecolor="black [3213]" strokeweight=".25pt">
                <w10:wrap anchorx="margin"/>
              </v:rect>
            </w:pict>
          </mc:Fallback>
        </mc:AlternateContent>
      </w:r>
      <w:r w:rsidR="00EC79EA" w:rsidRPr="007E5C16">
        <w:rPr>
          <w:rFonts w:ascii="Segoe UI Symbol" w:hAnsi="Segoe UI Symbol" w:cs="Segoe UI Symbol"/>
          <w:lang w:val="en-GB"/>
        </w:rPr>
        <w:t>☐</w:t>
      </w:r>
      <w:r w:rsidR="005C1EB3">
        <w:rPr>
          <w:lang w:val="en-GB"/>
        </w:rPr>
        <w:t xml:space="preserve"> </w:t>
      </w:r>
      <w:r w:rsidR="005C1EB3" w:rsidDel="002D3585">
        <w:rPr>
          <w:lang w:val="en-GB"/>
        </w:rPr>
        <w:t>T</w:t>
      </w:r>
      <w:r w:rsidR="00EC79EA" w:rsidRPr="007E5C16">
        <w:rPr>
          <w:lang w:val="en-GB"/>
        </w:rPr>
        <w:t xml:space="preserve">ravel days (additional individual support days) </w:t>
      </w:r>
    </w:p>
    <w:p w14:paraId="0B8888DC" w14:textId="3F52320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48BE51E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37A84DD5" w:rsidR="00EC79EA" w:rsidRDefault="00EC79EA" w:rsidP="773BE38D">
      <w:pPr>
        <w:jc w:val="both"/>
        <w:rPr>
          <w:sz w:val="24"/>
          <w:szCs w:val="24"/>
          <w:lang w:val="en-GB"/>
        </w:rPr>
      </w:pPr>
    </w:p>
    <w:p w14:paraId="44F3C227" w14:textId="1A26DA7C" w:rsidR="009E3330" w:rsidRPr="007E5C16" w:rsidRDefault="00AF2F43" w:rsidP="773BE38D">
      <w:pPr>
        <w:jc w:val="both"/>
        <w:rPr>
          <w:lang w:val="en-GB"/>
        </w:rPr>
      </w:pPr>
      <w:r>
        <w:rPr>
          <w:lang w:val="en-GB"/>
        </w:rPr>
        <w:t>The participant receives</w:t>
      </w:r>
      <w:r w:rsidR="009E3330" w:rsidRPr="004F4C93">
        <w:rPr>
          <w:lang w:val="en-GB"/>
        </w:rPr>
        <w:t>:</w:t>
      </w:r>
    </w:p>
    <w:p w14:paraId="566C227D" w14:textId="68108831" w:rsidR="009E3330" w:rsidRPr="008232A0" w:rsidRDefault="00AF2F43" w:rsidP="773BE38D">
      <w:pPr>
        <w:jc w:val="both"/>
        <w:rPr>
          <w:lang w:val="pt-PT"/>
        </w:rPr>
      </w:pPr>
      <w:r>
        <w:rPr>
          <w:rFonts w:ascii="Segoe UI Symbol" w:hAnsi="Segoe UI Symbol" w:cs="Segoe UI Symbol"/>
          <w:noProof/>
          <w:snapToGrid/>
          <w:lang w:val="es-ES" w:eastAsia="es-ES"/>
        </w:rPr>
        <mc:AlternateContent>
          <mc:Choice Requires="wps">
            <w:drawing>
              <wp:anchor distT="0" distB="0" distL="114300" distR="114300" simplePos="0" relativeHeight="251659264" behindDoc="0" locked="0" layoutInCell="1" allowOverlap="1" wp14:anchorId="5BB7380A" wp14:editId="061B1B83">
                <wp:simplePos x="0" y="0"/>
                <wp:positionH relativeFrom="column">
                  <wp:posOffset>13865</wp:posOffset>
                </wp:positionH>
                <wp:positionV relativeFrom="paragraph">
                  <wp:posOffset>46990</wp:posOffset>
                </wp:positionV>
                <wp:extent cx="78537" cy="89757"/>
                <wp:effectExtent l="0" t="0" r="17145" b="24765"/>
                <wp:wrapNone/>
                <wp:docPr id="1" name="Rectángulo 1"/>
                <wp:cNvGraphicFramePr/>
                <a:graphic xmlns:a="http://schemas.openxmlformats.org/drawingml/2006/main">
                  <a:graphicData uri="http://schemas.microsoft.com/office/word/2010/wordprocessingShape">
                    <wps:wsp>
                      <wps:cNvSpPr/>
                      <wps:spPr>
                        <a:xfrm>
                          <a:off x="0" y="0"/>
                          <a:ext cx="78537" cy="89757"/>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56FD8" id="Rectángulo 1" o:spid="_x0000_s1026" style="position:absolute;margin-left:1.1pt;margin-top:3.7pt;width:6.2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" fillcolor="black [3213]" strokecolor="black [3213]" strokeweight=".25pt"/>
            </w:pict>
          </mc:Fallback>
        </mc:AlternateContent>
      </w:r>
      <w:r w:rsidR="009E3330" w:rsidRPr="008232A0">
        <w:rPr>
          <w:rFonts w:ascii="Segoe UI Symbol" w:hAnsi="Segoe UI Symbol" w:cs="Segoe UI Symbol"/>
          <w:lang w:val="pt-PT"/>
        </w:rPr>
        <w:t>☐</w:t>
      </w:r>
      <w:r w:rsidR="009E3330" w:rsidRPr="008232A0">
        <w:rPr>
          <w:lang w:val="pt-PT"/>
        </w:rPr>
        <w:t xml:space="preserve"> a financial support from Erasmus+ EU funds </w:t>
      </w:r>
    </w:p>
    <w:p w14:paraId="0D740AD4" w14:textId="473DD0F5" w:rsidR="009E3330" w:rsidRPr="008232A0" w:rsidRDefault="009E3330" w:rsidP="773BE38D">
      <w:pPr>
        <w:jc w:val="both"/>
        <w:rPr>
          <w:lang w:val="pt-PT"/>
        </w:rPr>
      </w:pPr>
      <w:r w:rsidRPr="008232A0">
        <w:rPr>
          <w:rFonts w:ascii="Segoe UI Symbol" w:hAnsi="Segoe UI Symbol" w:cs="Segoe UI Symbol"/>
          <w:lang w:val="pt-PT"/>
        </w:rPr>
        <w:t>☐</w:t>
      </w:r>
      <w:r w:rsidRPr="008232A0">
        <w:rPr>
          <w:lang w:val="pt-PT"/>
        </w:rPr>
        <w:t xml:space="preserve"> a zero-grant</w:t>
      </w:r>
    </w:p>
    <w:p w14:paraId="37D00C55" w14:textId="327ACD38"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Ttulo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Ttulo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Prrafodelista"/>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Prrafodelista"/>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Prrafodelista"/>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F6413D">
      <w:pPr>
        <w:pStyle w:val="Prrafodelista"/>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Prrafodelista"/>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6F6F72AE" w:rsidR="00EF12F7" w:rsidRPr="00EF12F7" w:rsidRDefault="00EF12F7" w:rsidP="00EF12F7">
      <w:pPr>
        <w:pStyle w:val="Prrafodelista"/>
        <w:numPr>
          <w:ilvl w:val="0"/>
          <w:numId w:val="16"/>
        </w:numPr>
        <w:spacing w:after="120"/>
        <w:jc w:val="both"/>
        <w:rPr>
          <w:sz w:val="24"/>
          <w:szCs w:val="24"/>
          <w:lang w:val="en-US"/>
        </w:rPr>
      </w:pPr>
      <w:r w:rsidRPr="00EF12F7">
        <w:rPr>
          <w:sz w:val="24"/>
          <w:szCs w:val="24"/>
          <w:lang w:val="en-US"/>
        </w:rPr>
        <w:t xml:space="preserve"> </w:t>
      </w:r>
      <w:r w:rsidR="003479C9" w:rsidRPr="003479C9">
        <w:rPr>
          <w:sz w:val="24"/>
          <w:szCs w:val="24"/>
          <w:lang w:val="en-US"/>
        </w:rPr>
        <w:t>2</w:t>
      </w:r>
      <w:r w:rsidRPr="00EF12F7">
        <w:rPr>
          <w:sz w:val="24"/>
          <w:szCs w:val="24"/>
          <w:lang w:val="en-US"/>
        </w:rPr>
        <w:t xml:space="preserve"> funded travel da</w:t>
      </w:r>
      <w:r w:rsidR="00C45FB5">
        <w:rPr>
          <w:sz w:val="24"/>
          <w:szCs w:val="24"/>
          <w:lang w:val="en-US"/>
        </w:rPr>
        <w:t>ys</w:t>
      </w:r>
    </w:p>
    <w:p w14:paraId="3CD7377B" w14:textId="33262925"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003479C9" w:rsidRPr="003479C9">
        <w:rPr>
          <w:sz w:val="24"/>
          <w:szCs w:val="24"/>
          <w:lang w:val="en-GB"/>
        </w:rPr>
        <w:t>c</w:t>
      </w:r>
      <w:r w:rsidRPr="003479C9">
        <w:rPr>
          <w:sz w:val="24"/>
          <w:szCs w:val="24"/>
          <w:lang w:val="en-GB"/>
        </w:rPr>
        <w:t>ertificate of attendance (or statement attached to these documents</w:t>
      </w:r>
      <w:r w:rsidR="00C45FB5" w:rsidRPr="00C45FB5">
        <w:rPr>
          <w:sz w:val="24"/>
          <w:szCs w:val="24"/>
          <w:lang w:val="en-GB"/>
        </w:rPr>
        <w:t>)</w:t>
      </w:r>
      <w:r w:rsidRPr="00C45FB5">
        <w:rPr>
          <w:sz w:val="24"/>
          <w:szCs w:val="24"/>
          <w:lang w:val="en-GB"/>
        </w:rPr>
        <w:t xml:space="preserve"> s</w:t>
      </w:r>
      <w:r w:rsidRPr="0004025C">
        <w:rPr>
          <w:sz w:val="24"/>
          <w:szCs w:val="24"/>
          <w:lang w:val="en-GB"/>
        </w:rPr>
        <w:t>hall provide the confirmed start and end dates of duration of the mobility period, including the virtual component.</w:t>
      </w:r>
    </w:p>
    <w:p w14:paraId="6D3C57C6" w14:textId="57B74B45" w:rsidR="00F96310"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5DF65042"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B076B1" w:rsidRPr="00B076B1">
        <w:rPr>
          <w:sz w:val="24"/>
          <w:szCs w:val="24"/>
          <w:lang w:val="en-IE"/>
        </w:rPr>
        <w:t>2023</w:t>
      </w:r>
      <w:r w:rsidR="00523622" w:rsidRPr="00D816DD">
        <w:rPr>
          <w:sz w:val="24"/>
          <w:szCs w:val="24"/>
          <w:lang w:val="en-IE"/>
        </w:rPr>
        <w:t xml:space="preserve"> version]</w:t>
      </w:r>
    </w:p>
    <w:p w14:paraId="087C37B0" w14:textId="4C3016F1"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C45FB5">
        <w:rPr>
          <w:sz w:val="24"/>
          <w:szCs w:val="24"/>
          <w:lang w:val="en-GB"/>
        </w:rPr>
        <w:t xml:space="preserve"> of.</w:t>
      </w:r>
    </w:p>
    <w:p w14:paraId="20711AA1" w14:textId="4FB9F307"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874D09" w:rsidRPr="00874D09">
        <w:rPr>
          <w:sz w:val="24"/>
          <w:szCs w:val="24"/>
          <w:lang w:val="en-GB"/>
        </w:rPr>
        <w:t>60</w:t>
      </w:r>
      <w:r w:rsidR="006A548E">
        <w:rPr>
          <w:sz w:val="24"/>
          <w:szCs w:val="24"/>
          <w:lang w:val="en-GB"/>
        </w:rPr>
        <w:t xml:space="preserve"> </w:t>
      </w:r>
      <w:r w:rsidR="00B95D50" w:rsidRPr="00050236">
        <w:rPr>
          <w:sz w:val="24"/>
          <w:szCs w:val="24"/>
          <w:lang w:val="en-GB"/>
        </w:rPr>
        <w:t>days</w:t>
      </w:r>
      <w:r w:rsidR="00874D09">
        <w:rPr>
          <w:sz w:val="24"/>
          <w:szCs w:val="24"/>
          <w:lang w:val="en-GB"/>
        </w:rPr>
        <w:t xml:space="preserve">. </w:t>
      </w:r>
      <w:r w:rsidR="00B95D50" w:rsidRPr="00D816DD">
        <w:rPr>
          <w:sz w:val="24"/>
          <w:szCs w:val="24"/>
          <w:lang w:val="en-GB"/>
        </w:rPr>
        <w:t xml:space="preserve">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BC4BEE3" w14:textId="4C47CB52" w:rsidR="002B2378" w:rsidRPr="0004025C" w:rsidRDefault="00322E1A" w:rsidP="00BA402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AA4797">
        <w:rPr>
          <w:sz w:val="24"/>
          <w:szCs w:val="24"/>
          <w:lang w:val="en-GB"/>
        </w:rPr>
        <w:t>The organisation shall provide the participant the total financial support for the mobility period</w:t>
      </w:r>
      <w:r w:rsidR="006A548E">
        <w:rPr>
          <w:sz w:val="24"/>
          <w:szCs w:val="24"/>
          <w:lang w:val="en-GB"/>
        </w:rPr>
        <w:t xml:space="preserve"> </w:t>
      </w:r>
      <w:r w:rsidR="00BA4023" w:rsidRPr="00BA4023">
        <w:rPr>
          <w:sz w:val="24"/>
          <w:szCs w:val="24"/>
          <w:highlight w:val="lightGray"/>
          <w:lang w:val="en-US"/>
        </w:rPr>
        <w:t>[….]</w:t>
      </w:r>
      <w:r w:rsidR="00BA4023" w:rsidRPr="00BA4023">
        <w:rPr>
          <w:i/>
          <w:sz w:val="24"/>
          <w:szCs w:val="24"/>
          <w:lang w:val="en-US"/>
        </w:rPr>
        <w:t xml:space="preserve"> </w:t>
      </w:r>
      <w:r w:rsidR="006A548E" w:rsidRPr="009E73C7">
        <w:rPr>
          <w:sz w:val="24"/>
          <w:szCs w:val="24"/>
          <w:lang w:val="en-GB"/>
        </w:rPr>
        <w:t>and travel days</w:t>
      </w:r>
      <w:r w:rsidR="00496E36" w:rsidRPr="009E73C7">
        <w:rPr>
          <w:i/>
          <w:color w:val="4AA55B"/>
          <w:sz w:val="24"/>
          <w:szCs w:val="24"/>
          <w:lang w:val="en-US"/>
        </w:rPr>
        <w:t xml:space="preserve"> </w:t>
      </w:r>
      <w:r w:rsidR="00496E36">
        <w:rPr>
          <w:sz w:val="24"/>
          <w:szCs w:val="24"/>
          <w:lang w:val="en-GB"/>
        </w:rPr>
        <w:t xml:space="preserve">in the form of a payment of </w:t>
      </w:r>
      <w:r w:rsidR="002B2378" w:rsidRPr="00AA4797">
        <w:rPr>
          <w:sz w:val="24"/>
          <w:szCs w:val="24"/>
          <w:lang w:val="en-GB"/>
        </w:rPr>
        <w:t>EUR</w:t>
      </w:r>
      <w:r w:rsidR="00BA4023">
        <w:rPr>
          <w:sz w:val="24"/>
          <w:szCs w:val="24"/>
          <w:lang w:val="en-GB"/>
        </w:rPr>
        <w:t xml:space="preserve">  </w:t>
      </w:r>
      <w:r w:rsidR="00BA4023" w:rsidRPr="00BA4023">
        <w:rPr>
          <w:sz w:val="24"/>
          <w:szCs w:val="24"/>
          <w:highlight w:val="lightGray"/>
          <w:lang w:val="en-US"/>
        </w:rPr>
        <w:t>[….]</w:t>
      </w:r>
      <w:r w:rsidR="00BA4023">
        <w:rPr>
          <w:sz w:val="24"/>
          <w:szCs w:val="24"/>
          <w:lang w:val="en-GB"/>
        </w:rPr>
        <w:t>.</w:t>
      </w:r>
    </w:p>
    <w:p w14:paraId="46527E50" w14:textId="4229E866"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BA4023">
        <w:rPr>
          <w:sz w:val="24"/>
          <w:szCs w:val="24"/>
          <w:lang w:val="en-GB"/>
        </w:rPr>
        <w:t xml:space="preserve">: </w:t>
      </w:r>
      <w:r w:rsidR="008E1F5F" w:rsidRPr="00BA4023">
        <w:rPr>
          <w:sz w:val="24"/>
          <w:szCs w:val="24"/>
          <w:lang w:val="en-GB"/>
        </w:rPr>
        <w:t>exceptional costs for expensive travel, travel support, green travel</w:t>
      </w:r>
      <w:r w:rsidR="008E1F5F" w:rsidRPr="00BA4023" w:rsidDel="00B50173">
        <w:rPr>
          <w:sz w:val="24"/>
          <w:szCs w:val="24"/>
          <w:lang w:val="en-GB"/>
        </w:rPr>
        <w:t xml:space="preserve"> top-up</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408E2CE5"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w:t>
      </w:r>
      <w:r w:rsidR="00856844">
        <w:rPr>
          <w:sz w:val="24"/>
          <w:szCs w:val="24"/>
          <w:lang w:val="en-GB"/>
        </w:rPr>
        <w:t>1</w:t>
      </w:r>
      <w:r w:rsidR="007D2E98" w:rsidRPr="0004025C">
        <w:rPr>
          <w:sz w:val="24"/>
          <w:szCs w:val="24"/>
          <w:lang w:val="en-GB"/>
        </w:rPr>
        <w:t>.</w:t>
      </w:r>
    </w:p>
    <w:p w14:paraId="2803AD28" w14:textId="77777777" w:rsid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52E3A85A" w14:textId="37096072" w:rsidR="00C162BA" w:rsidRPr="0004025C" w:rsidRDefault="00F653E1" w:rsidP="00024058">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C162BA"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4F2D96F0"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024058" w:rsidRPr="00024058">
        <w:rPr>
          <w:sz w:val="24"/>
          <w:szCs w:val="24"/>
          <w:lang w:val="en-GB"/>
        </w:rPr>
        <w:t xml:space="preserve">100%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A055CC0" w14:textId="6F0E474A"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r w:rsidR="00222A10" w:rsidRPr="0004025C">
        <w:rPr>
          <w:sz w:val="24"/>
          <w:szCs w:val="24"/>
          <w:lang w:val="en-GB"/>
        </w:rPr>
        <w:t>EU</w:t>
      </w:r>
      <w:r w:rsidR="00F8042E" w:rsidRPr="0004025C">
        <w:rPr>
          <w:sz w:val="24"/>
          <w:szCs w:val="24"/>
          <w:lang w:val="en-GB"/>
        </w:rPr>
        <w:t>S</w:t>
      </w:r>
      <w:r w:rsidR="00222A10" w:rsidRPr="0004025C">
        <w:rPr>
          <w:sz w:val="24"/>
          <w:szCs w:val="24"/>
          <w:lang w:val="en-GB"/>
        </w:rPr>
        <w:t xml:space="preserve">urvey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p>
    <w:p w14:paraId="122ECC72"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6F1BFC7A"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2A3140">
        <w:rPr>
          <w:sz w:val="24"/>
          <w:szCs w:val="24"/>
          <w:lang w:val="en-GB"/>
        </w:rPr>
        <w:t xml:space="preserve"> insurance on their own.</w:t>
      </w:r>
    </w:p>
    <w:p w14:paraId="0E0A293E" w14:textId="7BF3D563"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2A3140">
        <w:rPr>
          <w:sz w:val="24"/>
          <w:szCs w:val="24"/>
          <w:lang w:val="en-GB"/>
        </w:rPr>
        <w:t xml:space="preserve">mandatory for traineeships and optional for </w:t>
      </w:r>
      <w:r w:rsidR="002B2378" w:rsidRPr="002A3140">
        <w:rPr>
          <w:sz w:val="24"/>
          <w:szCs w:val="24"/>
          <w:lang w:val="en-GB"/>
        </w:rPr>
        <w:t>other mobilities</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2A3140">
        <w:rPr>
          <w:sz w:val="24"/>
          <w:szCs w:val="24"/>
          <w:lang w:val="en-GB"/>
        </w:rPr>
        <w:t>.</w:t>
      </w:r>
      <w:r w:rsidR="00686D1D" w:rsidRPr="00682B6E">
        <w:rPr>
          <w:sz w:val="24"/>
          <w:szCs w:val="24"/>
          <w:lang w:val="en-GB"/>
        </w:rPr>
        <w:t xml:space="preserve"> </w:t>
      </w:r>
    </w:p>
    <w:p w14:paraId="54C6541C" w14:textId="297CB781" w:rsidR="004C4F1B" w:rsidRPr="00D816DD" w:rsidRDefault="004C4F1B" w:rsidP="004C4F1B">
      <w:pPr>
        <w:spacing w:after="120"/>
        <w:ind w:left="567"/>
        <w:jc w:val="both"/>
        <w:rPr>
          <w:sz w:val="24"/>
          <w:szCs w:val="24"/>
          <w:lang w:val="en-GB"/>
        </w:rPr>
      </w:pP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3CC8873B"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w:t>
      </w:r>
      <w:r w:rsidR="002A3140">
        <w:rPr>
          <w:sz w:val="24"/>
          <w:szCs w:val="24"/>
          <w:lang w:val="en-GB"/>
        </w:rPr>
        <w:t>ing the insurance coverage is</w:t>
      </w:r>
      <w:r w:rsidR="002A3140" w:rsidRPr="002A3140">
        <w:rPr>
          <w:sz w:val="24"/>
          <w:szCs w:val="24"/>
          <w:lang w:val="en-GB"/>
        </w:rPr>
        <w:t xml:space="preserve">: </w:t>
      </w:r>
      <w:r w:rsidR="004C4F1B" w:rsidRPr="002A3140">
        <w:rPr>
          <w:sz w:val="24"/>
          <w:szCs w:val="24"/>
          <w:lang w:val="en-GB"/>
        </w:rPr>
        <w:t xml:space="preserve"> the receiving organisations</w:t>
      </w:r>
      <w:r w:rsidR="002A3140">
        <w:rPr>
          <w:sz w:val="24"/>
          <w:szCs w:val="24"/>
          <w:lang w:val="en-GB"/>
        </w:rPr>
        <w:t>.</w:t>
      </w:r>
      <w:r w:rsidR="004C4F1B" w:rsidRPr="00D816DD">
        <w:rPr>
          <w:sz w:val="24"/>
          <w:szCs w:val="24"/>
          <w:lang w:val="en-GB"/>
        </w:rPr>
        <w:t xml:space="preserve"> </w:t>
      </w:r>
    </w:p>
    <w:p w14:paraId="60B88BCD" w14:textId="77777777" w:rsidR="00B12075"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5B304147" w14:textId="7DE19F17"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p>
    <w:p w14:paraId="2999ADD1" w14:textId="77777777" w:rsidR="009B7B70"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3DD274EA"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EUSurvey tool) </w:t>
      </w:r>
      <w:r w:rsidR="00E870AD" w:rsidRPr="0004025C">
        <w:rPr>
          <w:sz w:val="24"/>
          <w:szCs w:val="24"/>
          <w:lang w:val="en-GB"/>
        </w:rPr>
        <w:t>within</w:t>
      </w:r>
      <w:r w:rsidR="00346BE9">
        <w:rPr>
          <w:sz w:val="24"/>
          <w:szCs w:val="24"/>
          <w:lang w:val="en-GB"/>
        </w:rPr>
        <w:t xml:space="preserve">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ipervnculo"/>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424AD7C8"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ED622D" w:rsidRPr="00ED622D">
        <w:rPr>
          <w:sz w:val="24"/>
          <w:szCs w:val="24"/>
          <w:lang w:val="en-GB"/>
        </w:rPr>
        <w:t>Spain</w:t>
      </w:r>
      <w:r w:rsidR="007D2907" w:rsidRPr="0004025C">
        <w:rPr>
          <w:sz w:val="24"/>
          <w:szCs w:val="24"/>
          <w:lang w:val="en-GB"/>
        </w:rPr>
        <w:t xml:space="preserve"> or by any other outside body authorised by the European Commission or the National Agency of </w:t>
      </w:r>
      <w:r w:rsidR="00750C11" w:rsidRPr="00ED622D">
        <w:rPr>
          <w:sz w:val="24"/>
          <w:szCs w:val="24"/>
          <w:lang w:val="en-GB"/>
        </w:rPr>
        <w:t>Spain</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58653BC3"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EA2B1B" w:rsidRPr="00EA2B1B">
        <w:rPr>
          <w:sz w:val="24"/>
          <w:szCs w:val="24"/>
          <w:lang w:val="en-GB"/>
        </w:rPr>
        <w:t>Spain</w:t>
      </w:r>
      <w:r w:rsidR="001E277E" w:rsidRPr="00EA2B1B">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EA2B1B" w:rsidRPr="00EA2B1B">
        <w:rPr>
          <w:sz w:val="24"/>
          <w:szCs w:val="24"/>
          <w:lang w:val="en-GB"/>
        </w:rPr>
        <w:t xml:space="preserve">Spain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CCB9DC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EA2B1B" w:rsidRPr="00EA2B1B">
        <w:rPr>
          <w:sz w:val="24"/>
          <w:szCs w:val="24"/>
          <w:lang w:val="en-GB"/>
        </w:rPr>
        <w:t xml:space="preserve">Spanish </w:t>
      </w:r>
      <w:r w:rsidR="00EA2B1B">
        <w:rPr>
          <w:sz w:val="24"/>
          <w:szCs w:val="24"/>
          <w:lang w:val="en-GB"/>
        </w:rPr>
        <w:t>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8FB90CD" w14:textId="77777777" w:rsidR="00C736E2" w:rsidRDefault="004C4F1B" w:rsidP="004C4F1B">
      <w:pPr>
        <w:tabs>
          <w:tab w:val="left" w:pos="5670"/>
        </w:tabs>
        <w:rPr>
          <w:sz w:val="24"/>
          <w:szCs w:val="24"/>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002724A9">
        <w:rPr>
          <w:sz w:val="24"/>
          <w:szCs w:val="24"/>
          <w:lang w:val="en-GB"/>
        </w:rPr>
        <w:t>Francisco Javier Ávila López</w:t>
      </w:r>
    </w:p>
    <w:p w14:paraId="75656DD0" w14:textId="0BF26A98" w:rsidR="004C4F1B" w:rsidRPr="00C736E2" w:rsidRDefault="00C736E2" w:rsidP="00C736E2">
      <w:pPr>
        <w:autoSpaceDE w:val="0"/>
        <w:autoSpaceDN w:val="0"/>
        <w:adjustRightInd w:val="0"/>
        <w:ind w:left="5670"/>
        <w:rPr>
          <w:snapToGrid/>
          <w:sz w:val="24"/>
          <w:szCs w:val="24"/>
          <w:lang w:val="es-ES"/>
        </w:rPr>
      </w:pPr>
      <w:r w:rsidRPr="00C736E2">
        <w:rPr>
          <w:snapToGrid/>
          <w:sz w:val="24"/>
          <w:szCs w:val="24"/>
          <w:lang w:val="es-ES"/>
        </w:rPr>
        <w:t>Director of Internationalisation and</w:t>
      </w:r>
      <w:r>
        <w:rPr>
          <w:snapToGrid/>
          <w:sz w:val="24"/>
          <w:szCs w:val="24"/>
          <w:lang w:val="es-ES"/>
        </w:rPr>
        <w:t xml:space="preserve"> </w:t>
      </w:r>
      <w:r w:rsidRPr="00C736E2">
        <w:rPr>
          <w:snapToGrid/>
          <w:sz w:val="24"/>
          <w:szCs w:val="24"/>
          <w:lang w:val="es-ES"/>
        </w:rPr>
        <w:t>Mobility Programmes</w:t>
      </w:r>
      <w:r w:rsidRPr="00C736E2">
        <w:rPr>
          <w:sz w:val="24"/>
          <w:szCs w:val="24"/>
          <w:highlight w:val="lightGray"/>
          <w:lang w:val="en-GB"/>
        </w:rPr>
        <w:t xml:space="preserve"> </w:t>
      </w:r>
    </w:p>
    <w:p w14:paraId="4CBB77DE" w14:textId="77777777" w:rsidR="00C736E2"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p>
    <w:p w14:paraId="407C69E5" w14:textId="77777777" w:rsidR="00C736E2" w:rsidRDefault="00C736E2" w:rsidP="004C4F1B">
      <w:pPr>
        <w:tabs>
          <w:tab w:val="left" w:pos="5670"/>
        </w:tabs>
        <w:ind w:left="5812" w:hanging="5812"/>
        <w:rPr>
          <w:sz w:val="24"/>
          <w:szCs w:val="24"/>
          <w:lang w:val="en-GB"/>
        </w:rPr>
      </w:pPr>
    </w:p>
    <w:p w14:paraId="4A023708" w14:textId="77777777" w:rsidR="00C736E2" w:rsidRDefault="00C736E2" w:rsidP="004C4F1B">
      <w:pPr>
        <w:tabs>
          <w:tab w:val="left" w:pos="5670"/>
        </w:tabs>
        <w:ind w:left="5812" w:hanging="5812"/>
        <w:rPr>
          <w:sz w:val="24"/>
          <w:szCs w:val="24"/>
          <w:lang w:val="en-GB"/>
        </w:rPr>
      </w:pPr>
    </w:p>
    <w:p w14:paraId="6588F4DA" w14:textId="1CDAF2A8" w:rsidR="004C4F1B" w:rsidRPr="004F2E59" w:rsidRDefault="004C4F1B" w:rsidP="00C736E2">
      <w:pPr>
        <w:tabs>
          <w:tab w:val="left" w:pos="5670"/>
        </w:tabs>
        <w:ind w:left="5812" w:hanging="5812"/>
        <w:rPr>
          <w:sz w:val="24"/>
          <w:szCs w:val="24"/>
          <w:lang w:val="en-GB"/>
        </w:rPr>
      </w:pPr>
    </w:p>
    <w:p w14:paraId="52264954" w14:textId="763566C9"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00EA2B1B">
        <w:rPr>
          <w:sz w:val="24"/>
          <w:szCs w:val="24"/>
          <w:lang w:val="en-GB"/>
        </w:rPr>
        <w:t>]</w:t>
      </w:r>
      <w:r w:rsidR="00EA2B1B">
        <w:rPr>
          <w:sz w:val="24"/>
          <w:szCs w:val="24"/>
          <w:lang w:val="en-GB"/>
        </w:rPr>
        <w:tab/>
        <w:t>Done at Córdoba</w:t>
      </w:r>
      <w:r w:rsidR="00C736E2">
        <w:rPr>
          <w:sz w:val="24"/>
          <w:szCs w:val="24"/>
          <w:lang w:val="en-GB"/>
        </w:rPr>
        <w:t xml:space="preserve">, </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t xml:space="preserve">Annex </w:t>
      </w:r>
      <w:r w:rsidR="00683DC3">
        <w:rPr>
          <w:b/>
          <w:bCs/>
          <w:sz w:val="24"/>
          <w:szCs w:val="24"/>
          <w:lang w:val="en-GB"/>
        </w:rPr>
        <w:t>1</w:t>
      </w:r>
    </w:p>
    <w:p w14:paraId="32690629" w14:textId="1369916D" w:rsidR="00F66F07" w:rsidRPr="00735E06" w:rsidRDefault="00F66F07" w:rsidP="00FE2031">
      <w:pPr>
        <w:rPr>
          <w:sz w:val="24"/>
          <w:szCs w:val="24"/>
          <w:lang w:val="en-GB"/>
        </w:rPr>
      </w:pPr>
    </w:p>
    <w:p w14:paraId="56C74696" w14:textId="497665D4" w:rsidR="00877C09" w:rsidRPr="004C4F1B" w:rsidRDefault="00877C09" w:rsidP="2156E4C0">
      <w:pPr>
        <w:tabs>
          <w:tab w:val="left" w:pos="1701"/>
        </w:tabs>
        <w:jc w:val="center"/>
        <w:rPr>
          <w:b/>
          <w:bCs/>
          <w:sz w:val="24"/>
          <w:szCs w:val="24"/>
          <w:highlight w:val="lightGray"/>
          <w:lang w:val="en-GB"/>
        </w:rPr>
      </w:pPr>
    </w:p>
    <w:p w14:paraId="35EBC435" w14:textId="77777777" w:rsidR="00877C09" w:rsidRPr="00FE2031" w:rsidRDefault="00B90BE6" w:rsidP="2156E4C0">
      <w:pPr>
        <w:tabs>
          <w:tab w:val="left" w:pos="1701"/>
        </w:tabs>
        <w:jc w:val="center"/>
        <w:rPr>
          <w:b/>
          <w:sz w:val="24"/>
          <w:lang w:val="en-US"/>
        </w:rPr>
      </w:pPr>
      <w:r w:rsidRPr="00FE2031">
        <w:rPr>
          <w:b/>
          <w:sz w:val="24"/>
          <w:szCs w:val="24"/>
          <w:lang w:val="en-GB"/>
        </w:rPr>
        <w:t xml:space="preserve">Erasmus+ </w:t>
      </w:r>
      <w:r w:rsidRPr="00FE2031">
        <w:rPr>
          <w:b/>
          <w:sz w:val="24"/>
          <w:lang w:val="en-US"/>
        </w:rPr>
        <w:t>m</w:t>
      </w:r>
      <w:r w:rsidR="00877C09" w:rsidRPr="00FE2031">
        <w:rPr>
          <w:b/>
          <w:sz w:val="24"/>
          <w:lang w:val="en-US"/>
        </w:rPr>
        <w:t>obility agreement for staff mobility for teaching</w:t>
      </w:r>
    </w:p>
    <w:p w14:paraId="08575F92" w14:textId="7B814F82" w:rsidR="00137EB2" w:rsidRDefault="00314E2E" w:rsidP="00ED622D">
      <w:pPr>
        <w:tabs>
          <w:tab w:val="left" w:pos="1701"/>
          <w:tab w:val="left" w:pos="834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b/>
          <w:sz w:val="24"/>
          <w:lang w:val="en-US"/>
        </w:rPr>
        <w:tab/>
      </w:r>
    </w:p>
    <w:p w14:paraId="3D29ABE0" w14:textId="36E8206E" w:rsidR="00F66F07" w:rsidRPr="00BB726D" w:rsidRDefault="00F66F07" w:rsidP="00314E2E">
      <w:pPr>
        <w:tabs>
          <w:tab w:val="left" w:pos="1701"/>
        </w:tabs>
        <w:rPr>
          <w:b/>
          <w:lang w:val="en-GB"/>
        </w:rPr>
      </w:pPr>
      <w:bookmarkStart w:id="0" w:name="_GoBack"/>
      <w:bookmarkEnd w:id="0"/>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6C7D" w14:textId="77777777" w:rsidR="00ED622D" w:rsidRDefault="00ED622D">
      <w:r>
        <w:separator/>
      </w:r>
    </w:p>
  </w:endnote>
  <w:endnote w:type="continuationSeparator" w:id="0">
    <w:p w14:paraId="7ADF57FD" w14:textId="77777777" w:rsidR="00ED622D" w:rsidRDefault="00ED622D">
      <w:r>
        <w:continuationSeparator/>
      </w:r>
    </w:p>
  </w:endnote>
  <w:endnote w:type="continuationNotice" w:id="1">
    <w:p w14:paraId="4F334EAE" w14:textId="77777777" w:rsidR="00ED622D" w:rsidRDefault="00ED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ED622D" w:rsidRDefault="00ED622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5F9DFFBF" w14:textId="77777777" w:rsidR="00ED622D" w:rsidRDefault="00ED622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4323E703" w:rsidR="00ED622D" w:rsidRDefault="00ED622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14E2E">
      <w:rPr>
        <w:rStyle w:val="Nmerodepgina"/>
        <w:noProof/>
        <w:szCs w:val="24"/>
      </w:rPr>
      <w:t>2</w:t>
    </w:r>
    <w:r>
      <w:rPr>
        <w:rStyle w:val="Nmerodepgina"/>
        <w:szCs w:val="24"/>
      </w:rPr>
      <w:fldChar w:fldCharType="end"/>
    </w:r>
  </w:p>
  <w:p w14:paraId="4FEA1079" w14:textId="77777777" w:rsidR="00ED622D" w:rsidRDefault="00ED622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ED622D" w:rsidRPr="009A6788" w:rsidRDefault="00ED622D"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1A47A14B" w:rsidR="00ED622D" w:rsidRDefault="00ED622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14E2E">
      <w:rPr>
        <w:rStyle w:val="Nmerodepgina"/>
        <w:noProof/>
      </w:rPr>
      <w:t>7</w:t>
    </w:r>
    <w:r>
      <w:rPr>
        <w:rStyle w:val="Nmerodepgina"/>
      </w:rPr>
      <w:fldChar w:fldCharType="end"/>
    </w:r>
  </w:p>
  <w:p w14:paraId="3DA88ED3" w14:textId="77777777" w:rsidR="00ED622D" w:rsidRDefault="00ED622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42FD" w14:textId="77777777" w:rsidR="00ED622D" w:rsidRDefault="00ED622D">
      <w:r>
        <w:separator/>
      </w:r>
    </w:p>
  </w:footnote>
  <w:footnote w:type="continuationSeparator" w:id="0">
    <w:p w14:paraId="633935F6" w14:textId="77777777" w:rsidR="00ED622D" w:rsidRDefault="00ED622D">
      <w:r>
        <w:continuationSeparator/>
      </w:r>
    </w:p>
  </w:footnote>
  <w:footnote w:type="continuationNotice" w:id="1">
    <w:p w14:paraId="0F003C68" w14:textId="77777777" w:rsidR="00ED622D" w:rsidRDefault="00ED6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ED622D" w:rsidRDefault="00ED622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768EDDB9" w:rsidR="00ED622D" w:rsidRPr="00BB0723" w:rsidRDefault="00ED622D" w:rsidP="2156E4C0">
    <w:pPr>
      <w:pStyle w:val="Encabezado"/>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ED622D" w:rsidRPr="00FE149C" w:rsidRDefault="00ED622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758C1F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058"/>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2622"/>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24A9"/>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3140"/>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6B38"/>
    <w:rsid w:val="002F3579"/>
    <w:rsid w:val="002F64D2"/>
    <w:rsid w:val="003034A6"/>
    <w:rsid w:val="00305545"/>
    <w:rsid w:val="00306A91"/>
    <w:rsid w:val="003111BF"/>
    <w:rsid w:val="00312DBD"/>
    <w:rsid w:val="00313A00"/>
    <w:rsid w:val="00313A99"/>
    <w:rsid w:val="003149AE"/>
    <w:rsid w:val="00314AAF"/>
    <w:rsid w:val="00314E2E"/>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BE9"/>
    <w:rsid w:val="00346DB9"/>
    <w:rsid w:val="003479C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A72C8"/>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3547"/>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0C11"/>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6844"/>
    <w:rsid w:val="00857445"/>
    <w:rsid w:val="008605BE"/>
    <w:rsid w:val="00863461"/>
    <w:rsid w:val="00874D09"/>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20D6"/>
    <w:rsid w:val="009036DE"/>
    <w:rsid w:val="00905123"/>
    <w:rsid w:val="0090579E"/>
    <w:rsid w:val="00905F07"/>
    <w:rsid w:val="0091064A"/>
    <w:rsid w:val="00912337"/>
    <w:rsid w:val="009128C3"/>
    <w:rsid w:val="0091296D"/>
    <w:rsid w:val="00912D67"/>
    <w:rsid w:val="00914346"/>
    <w:rsid w:val="00914AB4"/>
    <w:rsid w:val="009165F7"/>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2F43"/>
    <w:rsid w:val="00AF36D8"/>
    <w:rsid w:val="00AF3F14"/>
    <w:rsid w:val="00AF4F50"/>
    <w:rsid w:val="00AF6C50"/>
    <w:rsid w:val="00B0225D"/>
    <w:rsid w:val="00B03E58"/>
    <w:rsid w:val="00B04A32"/>
    <w:rsid w:val="00B054FC"/>
    <w:rsid w:val="00B06B34"/>
    <w:rsid w:val="00B07049"/>
    <w:rsid w:val="00B076B1"/>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02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3985"/>
    <w:rsid w:val="00C2794F"/>
    <w:rsid w:val="00C3067C"/>
    <w:rsid w:val="00C3152B"/>
    <w:rsid w:val="00C371B3"/>
    <w:rsid w:val="00C41022"/>
    <w:rsid w:val="00C44455"/>
    <w:rsid w:val="00C45FB5"/>
    <w:rsid w:val="00C560D5"/>
    <w:rsid w:val="00C57232"/>
    <w:rsid w:val="00C578B7"/>
    <w:rsid w:val="00C60964"/>
    <w:rsid w:val="00C64F27"/>
    <w:rsid w:val="00C651CC"/>
    <w:rsid w:val="00C66367"/>
    <w:rsid w:val="00C70078"/>
    <w:rsid w:val="00C7113B"/>
    <w:rsid w:val="00C7207A"/>
    <w:rsid w:val="00C736E2"/>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2B1B"/>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D622D"/>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413D"/>
    <w:rsid w:val="00F653E1"/>
    <w:rsid w:val="00F65617"/>
    <w:rsid w:val="00F66F07"/>
    <w:rsid w:val="00F71AF0"/>
    <w:rsid w:val="00F71E59"/>
    <w:rsid w:val="00F72847"/>
    <w:rsid w:val="00F738FE"/>
    <w:rsid w:val="00F7401D"/>
    <w:rsid w:val="00F76509"/>
    <w:rsid w:val="00F765DC"/>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031"/>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tulo1">
    <w:name w:val="heading 1"/>
    <w:basedOn w:val="Normal"/>
    <w:next w:val="Text1"/>
    <w:link w:val="Ttulo1Car"/>
    <w:uiPriority w:val="9"/>
    <w:qFormat/>
    <w:rsid w:val="00443AC3"/>
    <w:pPr>
      <w:keepNext/>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link w:val="Ttulo4Car"/>
    <w:uiPriority w:val="9"/>
    <w:qFormat/>
    <w:rsid w:val="00443AC3"/>
    <w:pPr>
      <w:keepNext/>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link w:val="Ttulo6Car"/>
    <w:uiPriority w:val="9"/>
    <w:qFormat/>
    <w:rsid w:val="00443AC3"/>
    <w:p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link w:val="PrrafodelistaCar"/>
    <w:uiPriority w:val="34"/>
    <w:qFormat/>
    <w:rsid w:val="00015735"/>
    <w:pPr>
      <w:ind w:left="720"/>
      <w:contextualSpacing/>
    </w:pPr>
  </w:style>
  <w:style w:type="character" w:styleId="Hipervnculovisitado">
    <w:name w:val="FollowedHyperlink"/>
    <w:basedOn w:val="Fuentedeprrafopredeter"/>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Ttulo6Car">
    <w:name w:val="Título 6 Car"/>
    <w:basedOn w:val="Fuentedeprrafopredeter"/>
    <w:link w:val="Ttulo6"/>
    <w:uiPriority w:val="9"/>
    <w:rsid w:val="000A62E3"/>
    <w:rPr>
      <w:rFonts w:ascii="Arial" w:hAnsi="Arial"/>
      <w:i/>
      <w:snapToGrid w:val="0"/>
      <w:sz w:val="22"/>
      <w:lang w:val="fr-FR"/>
    </w:rPr>
  </w:style>
  <w:style w:type="character" w:customStyle="1" w:styleId="Ttulo1Car">
    <w:name w:val="Título 1 Car"/>
    <w:basedOn w:val="Fuentedeprrafopredeter"/>
    <w:link w:val="Ttulo1"/>
    <w:uiPriority w:val="9"/>
    <w:rsid w:val="000A62E3"/>
    <w:rPr>
      <w:b/>
      <w:smallCaps/>
      <w:snapToGrid w:val="0"/>
      <w:sz w:val="24"/>
      <w:lang w:val="fr-FR"/>
    </w:rPr>
  </w:style>
  <w:style w:type="character" w:customStyle="1" w:styleId="Ttulo4Car">
    <w:name w:val="Título 4 Car"/>
    <w:basedOn w:val="Fuentedeprrafopredeter"/>
    <w:link w:val="Ttulo4"/>
    <w:uiPriority w:val="9"/>
    <w:rsid w:val="000A62E3"/>
    <w:rPr>
      <w:snapToGrid w:val="0"/>
      <w:sz w:val="24"/>
      <w:lang w:val="fr-FR"/>
    </w:rPr>
  </w:style>
  <w:style w:type="character" w:customStyle="1" w:styleId="PrrafodelistaCar">
    <w:name w:val="Párrafo de lista Car"/>
    <w:link w:val="Prrafodelista"/>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13AE5"/>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fd06d9f-862c-4359-9a69-c66ff689f26a"/>
    <ds:schemaRef ds:uri="http://www.w3.org/XML/1998/namespac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40BC7-CCE2-4670-BD78-F135C083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1840</Words>
  <Characters>10236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Sabina Aunión Castillo</cp:lastModifiedBy>
  <cp:revision>24</cp:revision>
  <cp:lastPrinted>2015-03-04T15:51:00Z</cp:lastPrinted>
  <dcterms:created xsi:type="dcterms:W3CDTF">2024-02-16T08:22:00Z</dcterms:created>
  <dcterms:modified xsi:type="dcterms:W3CDTF">2024-02-16T11:45:00Z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